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rlito" w:cs="Carlito" w:eastAsia="Carlito" w:hAnsi="Carlito"/>
        </w:rPr>
      </w:pPr>
      <w:r w:rsidDel="00000000" w:rsidR="00000000" w:rsidRPr="00000000">
        <w:rPr>
          <w:rFonts w:ascii="Carlito" w:cs="Carlito" w:eastAsia="Carlito" w:hAnsi="Carlito"/>
          <w:rtl w:val="0"/>
        </w:rPr>
        <w:t xml:space="preserve">My study examines how some specific Renaissance practices—memory palaces, dancing, and fencing—integrated embodied cognition to produce knowledge and cultivate virtue. According to 16th century manuals, these techniques relied on physical movement and sensory engagement, or the simulation thereof, to shape intellectual and moral development. My goal is to understand the mechanisms through which embodied training, i.e. the acquisition of bodily habits and the exposure to specific situations, was thought to bring about inner change in individuals and groups. </w:t>
      </w:r>
    </w:p>
    <w:p w:rsidR="00000000" w:rsidDel="00000000" w:rsidP="00000000" w:rsidRDefault="00000000" w:rsidRPr="00000000" w14:paraId="00000002">
      <w:pPr>
        <w:jc w:val="both"/>
        <w:rPr>
          <w:rFonts w:ascii="Carlito" w:cs="Carlito" w:eastAsia="Carlito" w:hAnsi="Carlito"/>
        </w:rPr>
      </w:pPr>
      <w:r w:rsidDel="00000000" w:rsidR="00000000" w:rsidRPr="00000000">
        <w:rPr>
          <w:rtl w:val="0"/>
        </w:rPr>
      </w:r>
    </w:p>
    <w:p w:rsidR="00000000" w:rsidDel="00000000" w:rsidP="00000000" w:rsidRDefault="00000000" w:rsidRPr="00000000" w14:paraId="00000003">
      <w:pPr>
        <w:jc w:val="both"/>
        <w:rPr>
          <w:rFonts w:ascii="Carlito" w:cs="Carlito" w:eastAsia="Carlito" w:hAnsi="Carlito"/>
        </w:rPr>
      </w:pPr>
      <w:r w:rsidDel="00000000" w:rsidR="00000000" w:rsidRPr="00000000">
        <w:rPr>
          <w:rFonts w:ascii="Carlito" w:cs="Carlito" w:eastAsia="Carlito" w:hAnsi="Carlito"/>
          <w:rtl w:val="0"/>
        </w:rPr>
        <w:t xml:space="preserve">The Italian Renaissance was a period of profound socio-political and cultural transformation. Intellectuals, responding to instability, codified and innovated various techniques to navigate uncertainty. The memory palace, a mental system to organize and retrieve information, used a simulated space navigation involving sensory perception and motor memory, which enhanced recall and composition. According to my study so far, dancing and fencing utilize the same cognitive strategies into explicitly physical disciplines, to create </w:t>
      </w:r>
      <w:r w:rsidDel="00000000" w:rsidR="00000000" w:rsidRPr="00000000">
        <w:rPr>
          <w:rFonts w:ascii="Carlito" w:cs="Carlito" w:eastAsia="Carlito" w:hAnsi="Carlito"/>
          <w:i w:val="1"/>
          <w:rtl w:val="0"/>
        </w:rPr>
        <w:t xml:space="preserve">misura</w:t>
      </w:r>
      <w:r w:rsidDel="00000000" w:rsidR="00000000" w:rsidRPr="00000000">
        <w:rPr>
          <w:rFonts w:ascii="Carlito" w:cs="Carlito" w:eastAsia="Carlito" w:hAnsi="Carlito"/>
          <w:rtl w:val="0"/>
        </w:rPr>
        <w:t xml:space="preserve"> (timely reaction) and </w:t>
      </w:r>
      <w:r w:rsidDel="00000000" w:rsidR="00000000" w:rsidRPr="00000000">
        <w:rPr>
          <w:rFonts w:ascii="Carlito" w:cs="Carlito" w:eastAsia="Carlito" w:hAnsi="Carlito"/>
          <w:i w:val="1"/>
          <w:rtl w:val="0"/>
        </w:rPr>
        <w:t xml:space="preserve">sprezzatura</w:t>
      </w:r>
      <w:r w:rsidDel="00000000" w:rsidR="00000000" w:rsidRPr="00000000">
        <w:rPr>
          <w:rFonts w:ascii="Carlito" w:cs="Carlito" w:eastAsia="Carlito" w:hAnsi="Carlito"/>
          <w:rtl w:val="0"/>
        </w:rPr>
        <w:t xml:space="preserve"> (effortless mastery). Through rigorous training, these practices cultivated a "second nature," allowing individuals to respond adequately to set social situations–both instinctively and maintaining conscious control.</w:t>
      </w:r>
    </w:p>
    <w:p w:rsidR="00000000" w:rsidDel="00000000" w:rsidP="00000000" w:rsidRDefault="00000000" w:rsidRPr="00000000" w14:paraId="00000004">
      <w:pPr>
        <w:jc w:val="both"/>
        <w:rPr>
          <w:rFonts w:ascii="Carlito" w:cs="Carlito" w:eastAsia="Carlito" w:hAnsi="Carlito"/>
        </w:rPr>
      </w:pPr>
      <w:r w:rsidDel="00000000" w:rsidR="00000000" w:rsidRPr="00000000">
        <w:rPr>
          <w:rtl w:val="0"/>
        </w:rPr>
      </w:r>
    </w:p>
    <w:p w:rsidR="00000000" w:rsidDel="00000000" w:rsidP="00000000" w:rsidRDefault="00000000" w:rsidRPr="00000000" w14:paraId="00000005">
      <w:pPr>
        <w:jc w:val="both"/>
        <w:rPr>
          <w:rFonts w:ascii="Carlito" w:cs="Carlito" w:eastAsia="Carlito" w:hAnsi="Carlito"/>
        </w:rPr>
      </w:pPr>
      <w:r w:rsidDel="00000000" w:rsidR="00000000" w:rsidRPr="00000000">
        <w:rPr>
          <w:rFonts w:ascii="Carlito" w:cs="Carlito" w:eastAsia="Carlito" w:hAnsi="Carlito"/>
          <w:rtl w:val="0"/>
        </w:rPr>
        <w:t xml:space="preserve">My research highlights two cognitive mechanisms underpinning these arts: habituation and wonder. The first refers to the systematic internalization of movements, gestures, and drills, making their execution almost automatic. Wonder instead ensures attentional engagement and constant effort to assess and respond to contingency. The disciplines’ improvisational character required the optimization of the cognitive mechanisms involved in their execution: the two principles, when used in combination, made fencing, dancing, and composing, as “natural” and effortless as possible. </w:t>
      </w:r>
    </w:p>
    <w:p w:rsidR="00000000" w:rsidDel="00000000" w:rsidP="00000000" w:rsidRDefault="00000000" w:rsidRPr="00000000" w14:paraId="00000006">
      <w:pPr>
        <w:jc w:val="both"/>
        <w:rPr>
          <w:rFonts w:ascii="Carlito" w:cs="Carlito" w:eastAsia="Carlito" w:hAnsi="Carlito"/>
        </w:rPr>
      </w:pPr>
      <w:r w:rsidDel="00000000" w:rsidR="00000000" w:rsidRPr="00000000">
        <w:rPr>
          <w:rtl w:val="0"/>
        </w:rPr>
      </w:r>
    </w:p>
    <w:p w:rsidR="00000000" w:rsidDel="00000000" w:rsidP="00000000" w:rsidRDefault="00000000" w:rsidRPr="00000000" w14:paraId="00000007">
      <w:pPr>
        <w:jc w:val="both"/>
        <w:rPr>
          <w:rFonts w:ascii="Carlito" w:cs="Carlito" w:eastAsia="Carlito" w:hAnsi="Carlito"/>
        </w:rPr>
      </w:pPr>
      <w:r w:rsidDel="00000000" w:rsidR="00000000" w:rsidRPr="00000000">
        <w:rPr>
          <w:rFonts w:ascii="Carlito" w:cs="Carlito" w:eastAsia="Carlito" w:hAnsi="Carlito"/>
          <w:rtl w:val="0"/>
        </w:rPr>
        <w:t xml:space="preserve">Beyond individual mastery, these embodied practices played a collective role in shaping social behavior and political harmony. The performative nature of Renaissance court culture required mastery over one’s body to project authority and cultivate civic virtue. This dynamic underscores a broader Renaissance anxiety: the tension between self-mastery and external control. </w:t>
      </w:r>
    </w:p>
    <w:p w:rsidR="00000000" w:rsidDel="00000000" w:rsidP="00000000" w:rsidRDefault="00000000" w:rsidRPr="00000000" w14:paraId="00000008">
      <w:pPr>
        <w:jc w:val="both"/>
        <w:rPr>
          <w:rFonts w:ascii="Carlito" w:cs="Carlito" w:eastAsia="Carlito" w:hAnsi="Carlito"/>
        </w:rPr>
      </w:pPr>
      <w:r w:rsidDel="00000000" w:rsidR="00000000" w:rsidRPr="00000000">
        <w:rPr>
          <w:rtl w:val="0"/>
        </w:rPr>
      </w:r>
    </w:p>
    <w:p w:rsidR="00000000" w:rsidDel="00000000" w:rsidP="00000000" w:rsidRDefault="00000000" w:rsidRPr="00000000" w14:paraId="00000009">
      <w:pPr>
        <w:jc w:val="both"/>
        <w:rPr>
          <w:rFonts w:ascii="Carlito" w:cs="Carlito" w:eastAsia="Carlito" w:hAnsi="Carlito"/>
        </w:rPr>
      </w:pPr>
      <w:r w:rsidDel="00000000" w:rsidR="00000000" w:rsidRPr="00000000">
        <w:rPr>
          <w:rFonts w:ascii="Carlito" w:cs="Carlito" w:eastAsia="Carlito" w:hAnsi="Carlito"/>
          <w:rtl w:val="0"/>
        </w:rPr>
        <w:t xml:space="preserve">By analyzing premodern techniques of embodied learning, my research reveals an overlooked epistemological tradition, one that positioned the body as central to knowledge-making. It challenges modern assumptions about cognition and offers insights into historical intersections of intellect, habit, and social performance.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rl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rlito-regular.ttf"/><Relationship Id="rId2" Type="http://schemas.openxmlformats.org/officeDocument/2006/relationships/font" Target="fonts/Carlito-bold.ttf"/><Relationship Id="rId3" Type="http://schemas.openxmlformats.org/officeDocument/2006/relationships/font" Target="fonts/Carlito-italic.ttf"/><Relationship Id="rId4" Type="http://schemas.openxmlformats.org/officeDocument/2006/relationships/font" Target="fonts/Carl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